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9C1" w:rsidRDefault="007B29C1" w:rsidP="007B29C1">
      <w:bookmarkStart w:id="0" w:name="_GoBack"/>
      <w:bookmarkEnd w:id="0"/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27 de março: </w:t>
      </w:r>
      <w:r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Maurício Marsola</w:t>
      </w:r>
      <w:r w:rsidR="00F05AC4"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-</w:t>
      </w:r>
      <w:r w:rsidR="007B29C1"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 xml:space="preserve"> </w:t>
      </w:r>
      <w:r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>“Os Bárbaros: o Si mesmo e o Outro”</w:t>
      </w:r>
    </w:p>
    <w:p w:rsidR="00EE5A2D" w:rsidRPr="00EE5A2D" w:rsidRDefault="00EE5A2D" w:rsidP="00EE5A2D">
      <w:pPr>
        <w:jc w:val="both"/>
        <w:rPr>
          <w:lang w:val="es-US"/>
        </w:rPr>
      </w:pPr>
      <w:r w:rsidRPr="00EE5A2D">
        <w:rPr>
          <w:lang w:val="es-US"/>
        </w:rPr>
        <w:t>Mauricio Pagotto Marsola.</w:t>
      </w:r>
    </w:p>
    <w:p w:rsidR="00EE5A2D" w:rsidRPr="00A04259" w:rsidRDefault="00EE5A2D" w:rsidP="00EE5A2D">
      <w:pPr>
        <w:jc w:val="both"/>
      </w:pPr>
      <w:r w:rsidRPr="00A04259">
        <w:t>O Si mesmo e o Outro: transformações filosóficas da figura do estrangeiro no mundo grego antigo.</w:t>
      </w:r>
    </w:p>
    <w:p w:rsidR="00EE5A2D" w:rsidRPr="00EE5A2D" w:rsidRDefault="00EE5A2D" w:rsidP="00EE5A2D">
      <w:pPr>
        <w:jc w:val="both"/>
        <w:rPr>
          <w:lang w:val="es-US"/>
        </w:rPr>
      </w:pPr>
      <w:r w:rsidRPr="00EE5A2D">
        <w:rPr>
          <w:lang w:val="es-US"/>
        </w:rPr>
        <w:t>Trata-se de apresentar o variegado quadro da figuração do estrangeiro no mundo grego antigo, como na  afirmação platônica de que a identidade se configura pela diferença. Esta não marca apenas a identidade, mas é também um elemento de espanto, de maravilhamento e de transformação. Neste sentido. O pensamento de alguns sofistas, muitos dos quais eran estrangeiros nas cidades, como Isócrates, desenvolvem  a ideia de “pertença” a uma determinada cidade para além da naturalidade. Desse ponto, podemos encontrar as origens da categoria da xeniteia (“estrangeiridade”) que chega até o grande ecúmeno do pensamento filosófico tardo-antigo.</w:t>
      </w:r>
    </w:p>
    <w:p w:rsidR="00EE5A2D" w:rsidRPr="00EE5A2D" w:rsidRDefault="00EE5A2D" w:rsidP="00EE5A2D">
      <w:pPr>
        <w:jc w:val="both"/>
        <w:rPr>
          <w:lang w:val="es-US"/>
        </w:rPr>
      </w:pPr>
    </w:p>
    <w:p w:rsidR="00264121" w:rsidRPr="00EE5A2D" w:rsidRDefault="00264121" w:rsidP="00264121">
      <w:pPr>
        <w:spacing w:line="360" w:lineRule="auto"/>
        <w:jc w:val="both"/>
        <w:rPr>
          <w:rFonts w:ascii="Garamond" w:hAnsi="Garamond"/>
          <w:color w:val="000000" w:themeColor="text1"/>
          <w:lang w:val="es-US"/>
        </w:rPr>
      </w:pP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Garamond" w:hAnsi="Garamond"/>
          <w:b/>
          <w:color w:val="000000" w:themeColor="text1"/>
          <w:sz w:val="28"/>
          <w:szCs w:val="28"/>
        </w:rPr>
        <w:t xml:space="preserve">24 de abril: Andrea Piccini </w:t>
      </w:r>
      <w:r w:rsidR="00F05AC4">
        <w:rPr>
          <w:rFonts w:ascii="Garamond" w:hAnsi="Garamond"/>
          <w:b/>
          <w:color w:val="000000" w:themeColor="text1"/>
          <w:sz w:val="28"/>
          <w:szCs w:val="28"/>
        </w:rPr>
        <w:t>-</w:t>
      </w:r>
      <w:r w:rsidR="00F05AC4" w:rsidRPr="00F05AC4">
        <w:rPr>
          <w:rFonts w:ascii="Times New Roman" w:eastAsia="Times New Roman" w:hAnsi="Times New Roman" w:cs="Times New Roman"/>
          <w:color w:val="222222"/>
          <w:sz w:val="19"/>
          <w:szCs w:val="19"/>
          <w:lang w:eastAsia="pt-BR"/>
        </w:rPr>
        <w:t xml:space="preserve"> </w:t>
      </w:r>
      <w:r w:rsidR="00F05AC4"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>“Arquitetura do Oriente médio ao Oc</w:t>
      </w:r>
      <w:r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 xml:space="preserve">idente: </w:t>
      </w:r>
      <w:r w:rsidR="00F05AC4"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>do  Mediterrâneo a</w:t>
      </w:r>
      <w:r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 xml:space="preserve"> Florença”</w:t>
      </w:r>
    </w:p>
    <w:p w:rsidR="00F05AC4" w:rsidRPr="00F05AC4" w:rsidRDefault="00F05AC4" w:rsidP="00F05AC4">
      <w:pPr>
        <w:shd w:val="clear" w:color="auto" w:fill="FFFFFF"/>
        <w:jc w:val="both"/>
        <w:rPr>
          <w:rFonts w:ascii="Arial" w:eastAsia="Times New Roman" w:hAnsi="Arial" w:cs="Arial"/>
          <w:color w:val="222222"/>
          <w:sz w:val="19"/>
          <w:szCs w:val="19"/>
          <w:lang w:eastAsia="pt-BR"/>
        </w:rPr>
      </w:pPr>
    </w:p>
    <w:p w:rsidR="00F05AC4" w:rsidRPr="00F05AC4" w:rsidRDefault="00891920" w:rsidP="00F05AC4">
      <w:pPr>
        <w:shd w:val="clear" w:color="auto" w:fill="FFFFFF"/>
        <w:jc w:val="both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Times New Roman" w:eastAsia="Times New Roman" w:hAnsi="Times New Roman" w:cs="Times New Roman"/>
          <w:color w:val="222222"/>
          <w:lang w:eastAsia="pt-BR"/>
        </w:rPr>
        <w:t>Trata-se de um estudo dos</w:t>
      </w:r>
      <w:r w:rsidR="00F05AC4" w:rsidRPr="00F05AC4">
        <w:rPr>
          <w:rFonts w:ascii="Times New Roman" w:eastAsia="Times New Roman" w:hAnsi="Times New Roman" w:cs="Times New Roman"/>
          <w:color w:val="222222"/>
          <w:lang w:eastAsia="pt-BR"/>
        </w:rPr>
        <w:t xml:space="preserve"> elementos arquitetônicos históricos, socioculturais e socioeconômicos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que revelam a formação do Humanismo e da Arquitetura</w:t>
      </w:r>
      <w:r>
        <w:rPr>
          <w:rFonts w:ascii="Times New Roman" w:eastAsia="Times New Roman" w:hAnsi="Times New Roman" w:cs="Times New Roman"/>
          <w:color w:val="222222"/>
          <w:lang w:eastAsia="pt-BR"/>
        </w:rPr>
        <w:t xml:space="preserve"> em Florença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 xml:space="preserve">, </w:t>
      </w:r>
      <w:r w:rsidRPr="00891920">
        <w:rPr>
          <w:rFonts w:ascii="Times New Roman" w:eastAsia="Times New Roman" w:hAnsi="Times New Roman" w:cs="Times New Roman"/>
          <w:color w:val="222222"/>
          <w:lang w:eastAsia="pt-BR"/>
        </w:rPr>
        <w:t xml:space="preserve">em particular,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em que</w:t>
      </w:r>
      <w:r>
        <w:rPr>
          <w:rFonts w:ascii="Times New Roman" w:eastAsia="Times New Roman" w:hAnsi="Times New Roman" w:cs="Times New Roman"/>
          <w:color w:val="222222"/>
          <w:lang w:eastAsia="pt-BR"/>
        </w:rPr>
        <w:t xml:space="preserve"> suas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 xml:space="preserve"> relações com o Oriente islâmico</w:t>
      </w:r>
      <w:r>
        <w:rPr>
          <w:rFonts w:ascii="Times New Roman" w:eastAsia="Times New Roman" w:hAnsi="Times New Roman" w:cs="Times New Roman"/>
          <w:color w:val="222222"/>
          <w:lang w:eastAsia="pt-BR"/>
        </w:rPr>
        <w:t xml:space="preserve">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configuraram o Renascimento, dando uma nova vida aos debates acadêmicos</w:t>
      </w:r>
      <w:r w:rsidR="00F05AC4" w:rsidRPr="00F05AC4">
        <w:rPr>
          <w:rFonts w:ascii="Times New Roman" w:eastAsia="Times New Roman" w:hAnsi="Times New Roman" w:cs="Times New Roman"/>
          <w:color w:val="222222"/>
          <w:lang w:eastAsia="pt-BR"/>
        </w:rPr>
        <w:t xml:space="preserve">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tradicionais</w:t>
      </w:r>
      <w:r>
        <w:rPr>
          <w:rFonts w:ascii="Times New Roman" w:eastAsia="Times New Roman" w:hAnsi="Times New Roman" w:cs="Times New Roman"/>
          <w:color w:val="222222"/>
          <w:lang w:eastAsia="pt-BR"/>
        </w:rPr>
        <w:t xml:space="preserve">, 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que d</w:t>
      </w:r>
      <w:r>
        <w:rPr>
          <w:rFonts w:ascii="Times New Roman" w:eastAsia="Times New Roman" w:hAnsi="Times New Roman" w:cs="Times New Roman"/>
          <w:color w:val="222222"/>
          <w:lang w:eastAsia="pt-BR"/>
        </w:rPr>
        <w:t>i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>zia respeito à continuidade entre tradições intelectuais medievais e da Renascença</w:t>
      </w:r>
      <w:r>
        <w:rPr>
          <w:rFonts w:ascii="Times New Roman" w:eastAsia="Times New Roman" w:hAnsi="Times New Roman" w:cs="Times New Roman"/>
          <w:color w:val="222222"/>
          <w:lang w:eastAsia="pt-BR"/>
        </w:rPr>
        <w:t>, visão modificada pelo</w:t>
      </w:r>
      <w:r w:rsidR="00A76CF9" w:rsidRPr="00891920">
        <w:rPr>
          <w:rFonts w:ascii="Times New Roman" w:eastAsia="Times New Roman" w:hAnsi="Times New Roman" w:cs="Times New Roman"/>
          <w:color w:val="222222"/>
          <w:lang w:eastAsia="pt-BR"/>
        </w:rPr>
        <w:t xml:space="preserve"> </w:t>
      </w:r>
      <w:r w:rsidR="00F05AC4" w:rsidRPr="00F05AC4">
        <w:rPr>
          <w:rFonts w:ascii="Times New Roman" w:eastAsia="Times New Roman" w:hAnsi="Times New Roman" w:cs="Times New Roman"/>
          <w:color w:val="222222"/>
          <w:lang w:eastAsia="pt-BR"/>
        </w:rPr>
        <w:t>rebatimento de uma arquitetura que  foi a base da Renascença em Florença.</w:t>
      </w:r>
    </w:p>
    <w:p w:rsidR="00264121" w:rsidRPr="00891920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hd w:val="clear" w:color="auto" w:fill="FFFFFF"/>
          <w:lang w:eastAsia="pt-BR"/>
        </w:rPr>
      </w:pPr>
    </w:p>
    <w:p w:rsidR="00814ABB" w:rsidRDefault="00264121" w:rsidP="00264121">
      <w:pPr>
        <w:tabs>
          <w:tab w:val="left" w:pos="3252"/>
        </w:tabs>
        <w:spacing w:line="360" w:lineRule="auto"/>
        <w:jc w:val="both"/>
        <w:rPr>
          <w:rFonts w:ascii="Garamond" w:eastAsia="Times New Roman" w:hAnsi="Garamond" w:cs="Times New Roman"/>
          <w:b/>
          <w:color w:val="FF0000"/>
          <w:sz w:val="28"/>
          <w:szCs w:val="28"/>
          <w:shd w:val="clear" w:color="auto" w:fill="FFFFFF"/>
          <w:lang w:eastAsia="pt-BR"/>
        </w:rPr>
      </w:pPr>
      <w:r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 xml:space="preserve">29 de maio: </w:t>
      </w:r>
      <w:r w:rsidR="00814ABB"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>Geraldo Campos :Memória do desaparecimento:</w:t>
      </w:r>
      <w:r w:rsid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 xml:space="preserve"> </w:t>
      </w:r>
      <w:r w:rsidR="00814ABB"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>o cinema palestino e exílio</w:t>
      </w:r>
    </w:p>
    <w:p w:rsidR="00264121" w:rsidRPr="00814ABB" w:rsidRDefault="00814ABB" w:rsidP="00264121">
      <w:pPr>
        <w:tabs>
          <w:tab w:val="left" w:pos="3252"/>
        </w:tabs>
        <w:spacing w:line="360" w:lineRule="auto"/>
        <w:jc w:val="both"/>
        <w:rPr>
          <w:rFonts w:ascii="Garamond" w:eastAsia="Times New Roman" w:hAnsi="Garamond" w:cs="Times New Roman"/>
          <w:b/>
          <w:color w:val="FF0000"/>
          <w:shd w:val="clear" w:color="auto" w:fill="FFFFFF"/>
          <w:lang w:eastAsia="pt-BR"/>
        </w:rPr>
      </w:pPr>
      <w:r w:rsidRPr="00814ABB">
        <w:rPr>
          <w:rFonts w:ascii="Garamond" w:eastAsia="Times New Roman" w:hAnsi="Garamond" w:cs="Times New Roman"/>
          <w:b/>
          <w:color w:val="FF0000"/>
          <w:shd w:val="clear" w:color="auto" w:fill="FFFFFF"/>
          <w:lang w:eastAsia="pt-BR"/>
        </w:rPr>
        <w:t xml:space="preserve"> </w:t>
      </w:r>
      <w:r w:rsidRPr="00814ABB">
        <w:rPr>
          <w:rFonts w:ascii="Arial" w:hAnsi="Arial" w:cs="Arial"/>
          <w:color w:val="222222"/>
          <w:shd w:val="clear" w:color="auto" w:fill="FFFFFF"/>
        </w:rPr>
        <w:t>A arte palestina contemporânea lida com a produção de um olhar da presença-ausente, no qual se expressam diferentes temporalidades, que enfrentam a espera e o retorno como forma de relação com a perda e a ocupação territorial. Partindo da obra de alguns artistas, a apresentação busca pensar a questão do tempo e da política neste campo estético. </w:t>
      </w: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</w:pPr>
    </w:p>
    <w:p w:rsidR="00264121" w:rsidRDefault="00891920" w:rsidP="00264121">
      <w:pPr>
        <w:tabs>
          <w:tab w:val="left" w:pos="3252"/>
        </w:tabs>
        <w:spacing w:line="360" w:lineRule="auto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26 de junho: Marilena Chaui-</w:t>
      </w:r>
      <w:r>
        <w:rPr>
          <w:rFonts w:asciiTheme="majorHAnsi" w:eastAsia="Times New Roman" w:hAnsiTheme="majorHAnsi" w:cs="Arial"/>
          <w:color w:val="222222"/>
          <w:lang w:eastAsia="pt-BR"/>
        </w:rPr>
        <w:t>: "A invenção ocidental do O</w:t>
      </w:r>
      <w:r w:rsidRPr="000532A3">
        <w:rPr>
          <w:rFonts w:asciiTheme="majorHAnsi" w:eastAsia="Times New Roman" w:hAnsiTheme="majorHAnsi" w:cs="Arial"/>
          <w:color w:val="222222"/>
          <w:lang w:eastAsia="pt-BR"/>
        </w:rPr>
        <w:t>riente". </w:t>
      </w:r>
    </w:p>
    <w:p w:rsidR="00891920" w:rsidRPr="000532A3" w:rsidRDefault="00891920" w:rsidP="00891920">
      <w:pPr>
        <w:shd w:val="clear" w:color="auto" w:fill="FFFFFF"/>
        <w:rPr>
          <w:rFonts w:asciiTheme="majorHAnsi" w:eastAsia="Times New Roman" w:hAnsiTheme="majorHAnsi" w:cs="Arial"/>
          <w:color w:val="222222"/>
          <w:lang w:eastAsia="pt-BR"/>
        </w:rPr>
      </w:pPr>
      <w:r w:rsidRPr="000532A3">
        <w:rPr>
          <w:rFonts w:asciiTheme="majorHAnsi" w:eastAsia="Times New Roman" w:hAnsiTheme="majorHAnsi" w:cs="Arial"/>
          <w:color w:val="222222"/>
          <w:lang w:eastAsia="pt-BR"/>
        </w:rPr>
        <w:t>O Mediterrâneo, que foi</w:t>
      </w:r>
      <w:r>
        <w:rPr>
          <w:rFonts w:asciiTheme="majorHAnsi" w:eastAsia="Times New Roman" w:hAnsiTheme="majorHAnsi" w:cs="Arial"/>
          <w:color w:val="222222"/>
          <w:lang w:eastAsia="pt-BR"/>
        </w:rPr>
        <w:t>,</w:t>
      </w:r>
      <w:r w:rsidRPr="000532A3">
        <w:rPr>
          <w:rFonts w:asciiTheme="majorHAnsi" w:eastAsia="Times New Roman" w:hAnsiTheme="majorHAnsi" w:cs="Arial"/>
          <w:color w:val="222222"/>
          <w:lang w:eastAsia="pt-BR"/>
        </w:rPr>
        <w:t xml:space="preserve"> simultaneamente , judaico, cristão otomano e muçulmano, suscitou, desde as Cruzadas, o imaginário ocidental de que a designação simbólica de Levante ou Oriente é a expressão.Espaço sagrado do nascimento do dia na aurora da civilização, este</w:t>
      </w:r>
      <w:r w:rsidRPr="000532A3">
        <w:rPr>
          <w:rFonts w:asciiTheme="majorHAnsi" w:hAnsiTheme="majorHAnsi"/>
        </w:rPr>
        <w:t xml:space="preserve"> termo é bem mais que geográfico, o Oriente sendo a </w:t>
      </w:r>
      <w:r w:rsidRPr="000532A3">
        <w:rPr>
          <w:rFonts w:asciiTheme="majorHAnsi" w:hAnsiTheme="majorHAnsi"/>
        </w:rPr>
        <w:lastRenderedPageBreak/>
        <w:t xml:space="preserve">projeção fantasmática forjada pela mentalidade ocidental em seu projeto de dominação simbólica, política e histórica. </w:t>
      </w:r>
    </w:p>
    <w:p w:rsidR="00891920" w:rsidRPr="000532A3" w:rsidRDefault="00891920" w:rsidP="00891920">
      <w:pPr>
        <w:rPr>
          <w:rFonts w:asciiTheme="majorHAnsi" w:hAnsiTheme="majorHAnsi"/>
        </w:rPr>
      </w:pPr>
    </w:p>
    <w:p w:rsidR="00891920" w:rsidRDefault="00891920" w:rsidP="00264121">
      <w:pPr>
        <w:tabs>
          <w:tab w:val="left" w:pos="3252"/>
        </w:tabs>
        <w:spacing w:line="360" w:lineRule="auto"/>
        <w:jc w:val="both"/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</w:pP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</w:pPr>
    </w:p>
    <w:p w:rsidR="007B29C1" w:rsidRDefault="00264121" w:rsidP="00264121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28 de agosto: Massimo Canevacci</w:t>
      </w:r>
      <w:r w:rsidR="00891920"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-</w:t>
      </w:r>
      <w:r w:rsidR="00891920" w:rsidRPr="0089192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A7B7B">
        <w:rPr>
          <w:rFonts w:ascii="Arial" w:hAnsi="Arial" w:cs="Arial"/>
          <w:color w:val="222222"/>
          <w:shd w:val="clear" w:color="auto" w:fill="FFFFFF"/>
        </w:rPr>
        <w:t>“</w:t>
      </w:r>
      <w:r w:rsidR="00891920">
        <w:rPr>
          <w:rFonts w:ascii="Arial" w:hAnsi="Arial" w:cs="Arial"/>
          <w:color w:val="222222"/>
          <w:shd w:val="clear" w:color="auto" w:fill="FFFFFF"/>
        </w:rPr>
        <w:t>Edward Saïd</w:t>
      </w:r>
      <w:r w:rsidR="008A7B7B">
        <w:rPr>
          <w:rFonts w:ascii="Arial" w:hAnsi="Arial" w:cs="Arial"/>
          <w:color w:val="222222"/>
          <w:shd w:val="clear" w:color="auto" w:fill="FFFFFF"/>
        </w:rPr>
        <w:t xml:space="preserve"> e as identidades em diáspora.”</w:t>
      </w:r>
    </w:p>
    <w:p w:rsidR="00264121" w:rsidRDefault="008A7B7B" w:rsidP="00264121">
      <w:pPr>
        <w:spacing w:line="360" w:lineRule="auto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Arial" w:hAnsi="Arial" w:cs="Arial"/>
          <w:color w:val="222222"/>
          <w:shd w:val="clear" w:color="auto" w:fill="FFFFFF"/>
        </w:rPr>
        <w:tab/>
        <w:t xml:space="preserve">A apresentação parte de Edward Saïd, e reflete sobre a possibilidade de haver </w:t>
      </w:r>
      <w:r w:rsidR="00891920">
        <w:rPr>
          <w:rFonts w:ascii="Arial" w:hAnsi="Arial" w:cs="Arial"/>
          <w:color w:val="222222"/>
          <w:shd w:val="clear" w:color="auto" w:fill="FFFFFF"/>
        </w:rPr>
        <w:t>muitos e diferenciados “Orientes” e “Ocidentes”.  Uma</w:t>
      </w:r>
      <w:r>
        <w:rPr>
          <w:rFonts w:ascii="Arial" w:hAnsi="Arial" w:cs="Arial"/>
          <w:color w:val="222222"/>
          <w:shd w:val="clear" w:color="auto" w:fill="FFFFFF"/>
        </w:rPr>
        <w:t xml:space="preserve"> visão etnográfica - adequada à pesquisa e à</w:t>
      </w:r>
      <w:r w:rsidR="00891920">
        <w:rPr>
          <w:rFonts w:ascii="Arial" w:hAnsi="Arial" w:cs="Arial"/>
          <w:color w:val="222222"/>
          <w:shd w:val="clear" w:color="auto" w:fill="FFFFFF"/>
        </w:rPr>
        <w:t xml:space="preserve"> critica dos conflitos históricos e atuais - não pode reproduzir esta dicotomia geopolítica “imaginaria”, mas procurar itinerários lógicos e  sensíveis diferenciados,</w:t>
      </w:r>
      <w:r>
        <w:rPr>
          <w:rFonts w:ascii="Arial" w:hAnsi="Arial" w:cs="Arial"/>
          <w:color w:val="222222"/>
          <w:shd w:val="clear" w:color="auto" w:fill="FFFFFF"/>
        </w:rPr>
        <w:t xml:space="preserve"> Porque exilado de todo sentimento de localidade, um “ expatriado transcendental”, Saïd </w:t>
      </w:r>
      <w:r w:rsidR="00891920">
        <w:rPr>
          <w:rFonts w:ascii="Arial" w:hAnsi="Arial" w:cs="Arial"/>
          <w:color w:val="222222"/>
          <w:shd w:val="clear" w:color="auto" w:fill="FFFFFF"/>
        </w:rPr>
        <w:t>favoreceu o inicio dos estúdios culturais.</w:t>
      </w: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</w:pPr>
    </w:p>
    <w:p w:rsidR="004F07E6" w:rsidRDefault="00264121" w:rsidP="004F07E6">
      <w:pPr>
        <w:spacing w:line="360" w:lineRule="auto"/>
        <w:jc w:val="both"/>
        <w:rPr>
          <w:sz w:val="28"/>
          <w:szCs w:val="28"/>
        </w:rPr>
      </w:pPr>
      <w:r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 xml:space="preserve">25 de setembro: </w:t>
      </w:r>
      <w:r w:rsidR="004F07E6">
        <w:rPr>
          <w:sz w:val="28"/>
          <w:szCs w:val="28"/>
        </w:rPr>
        <w:t>Medicina árabe e artes no Renascimento italiano</w:t>
      </w:r>
    </w:p>
    <w:p w:rsidR="004F07E6" w:rsidRDefault="004F07E6" w:rsidP="004F07E6">
      <w:pPr>
        <w:jc w:val="both"/>
      </w:pPr>
      <w:r>
        <w:t>Eduardo Kickhofel</w:t>
      </w:r>
    </w:p>
    <w:p w:rsidR="004F07E6" w:rsidRDefault="004F07E6" w:rsidP="004F07E6">
      <w:pPr>
        <w:jc w:val="both"/>
      </w:pPr>
    </w:p>
    <w:p w:rsidR="004F07E6" w:rsidRDefault="004F07E6" w:rsidP="004F07E6">
      <w:pPr>
        <w:jc w:val="both"/>
      </w:pPr>
      <w:r>
        <w:t xml:space="preserve">Avicena (c. 980-1037) foi um dos diversos filósofos islâmicos que começaram a serem lidos na Europa nos séculos XII-XIII. Famoso como médico, foi citado por Mondino de’ Liuzzi em seu tratado </w:t>
      </w:r>
      <w:r>
        <w:rPr>
          <w:i/>
        </w:rPr>
        <w:t>Anatomia</w:t>
      </w:r>
      <w:r>
        <w:t xml:space="preserve">, escrito em Bologna por volta de 1316, e sua influência fez sentir até meados do século XVI. Também foi lido por escultores e pintores florentinos do século XV. Lorenzo Ghiberti, artífice maior do Renascimento italiano e autor das duas principais portas do Batistério de Florença, cita o </w:t>
      </w:r>
      <w:r>
        <w:rPr>
          <w:i/>
          <w:iCs/>
        </w:rPr>
        <w:t>Cânone</w:t>
      </w:r>
      <w:r>
        <w:t xml:space="preserve"> de Avicena no fim de seu tratado </w:t>
      </w:r>
      <w:r>
        <w:rPr>
          <w:i/>
        </w:rPr>
        <w:t>Os comentários</w:t>
      </w:r>
      <w:r>
        <w:t>, e Leonardo da Vinci fez uso de palavras e teorias de Avicena em seus estudos de anatomia, as quais ele conhecia sobretudo de edições latinas e italianas do tratado de Mondino. Assim, fontes de época atestam a influência de Avicena em grandes artífices de Florença, cidade que no século XV era o centro da cultura italiana e europeia.</w:t>
      </w:r>
    </w:p>
    <w:p w:rsidR="004F07E6" w:rsidRDefault="004F07E6" w:rsidP="004F07E6">
      <w:pPr>
        <w:jc w:val="both"/>
      </w:pPr>
    </w:p>
    <w:p w:rsidR="004F07E6" w:rsidRPr="007B29C1" w:rsidRDefault="004F07E6" w:rsidP="00264121">
      <w:pPr>
        <w:spacing w:line="360" w:lineRule="auto"/>
        <w:jc w:val="both"/>
        <w:rPr>
          <w:rFonts w:ascii="Garamond" w:eastAsia="Times New Roman" w:hAnsi="Garamond" w:cs="Times New Roman"/>
          <w:b/>
          <w:color w:val="FF0000"/>
          <w:sz w:val="28"/>
          <w:szCs w:val="28"/>
          <w:shd w:val="clear" w:color="auto" w:fill="FFFFFF"/>
          <w:lang w:eastAsia="pt-BR"/>
        </w:rPr>
      </w:pPr>
    </w:p>
    <w:p w:rsidR="00264121" w:rsidRPr="00814ABB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sz w:val="28"/>
          <w:szCs w:val="28"/>
          <w:shd w:val="clear" w:color="auto" w:fill="FFFFFF"/>
          <w:lang w:eastAsia="pt-BR"/>
        </w:rPr>
      </w:pPr>
    </w:p>
    <w:p w:rsidR="00FF5959" w:rsidRPr="00814ABB" w:rsidRDefault="00264121" w:rsidP="00FF5959">
      <w:pPr>
        <w:jc w:val="both"/>
      </w:pPr>
      <w:r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 xml:space="preserve">30 de outubro: </w:t>
      </w:r>
      <w:r w:rsidR="00FF5959" w:rsidRPr="00814ABB">
        <w:t>Passagem ao Ocidente-</w:t>
      </w:r>
    </w:p>
    <w:p w:rsidR="00264121" w:rsidRPr="00814ABB" w:rsidRDefault="00FF5959" w:rsidP="00264121">
      <w:pPr>
        <w:spacing w:line="360" w:lineRule="auto"/>
        <w:jc w:val="both"/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</w:pPr>
      <w:r w:rsidRPr="00814ABB">
        <w:rPr>
          <w:rFonts w:ascii="Garamond" w:eastAsia="Times New Roman" w:hAnsi="Garamond" w:cs="Times New Roman"/>
          <w:b/>
          <w:sz w:val="28"/>
          <w:szCs w:val="28"/>
          <w:shd w:val="clear" w:color="auto" w:fill="FFFFFF"/>
          <w:lang w:eastAsia="pt-BR"/>
        </w:rPr>
        <w:t>Giacomo Marramao</w:t>
      </w:r>
    </w:p>
    <w:p w:rsidR="007924A6" w:rsidRPr="00814ABB" w:rsidRDefault="007924A6" w:rsidP="007924A6">
      <w:pPr>
        <w:jc w:val="both"/>
        <w:rPr>
          <w:sz w:val="22"/>
          <w:szCs w:val="22"/>
        </w:rPr>
      </w:pPr>
      <w:r w:rsidRPr="00814ABB">
        <w:rPr>
          <w:sz w:val="22"/>
          <w:szCs w:val="22"/>
        </w:rPr>
        <w:t xml:space="preserve">Trata-se de analisar os conceitos de Oriente e Ocidente  segundo seus trânsitos históricos, considerando-os como categorias históricas e geopolíticas, ideológicas e religiosas, à luz da Globalização e do cruzamento de suas alteridades, na passagem do pluralismo dos interesses ao pluralismo das identidades. Neste sentido, é </w:t>
      </w:r>
      <w:r w:rsidRPr="00814ABB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também uma tentativa de estabelecer uma genealogia de alguns pressupostos filosóficos da teoria do orientalismo de Edward Said: do "modo de produção asiático" de Marx à crítica de Nietzsche, da tese de </w:t>
      </w:r>
      <w:r w:rsidRPr="00814ABB">
        <w:rPr>
          <w:rFonts w:ascii="Arial" w:hAnsi="Arial" w:cs="Arial"/>
          <w:color w:val="222222"/>
          <w:sz w:val="22"/>
          <w:szCs w:val="22"/>
          <w:shd w:val="clear" w:color="auto" w:fill="FFFFFF"/>
        </w:rPr>
        <w:lastRenderedPageBreak/>
        <w:t>"idade axial" de Karl Jaspers aos recentes desenvolvimentos de "estudos pós-coloniais".</w:t>
      </w:r>
    </w:p>
    <w:p w:rsidR="00264121" w:rsidRPr="00814ABB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2"/>
          <w:szCs w:val="22"/>
          <w:shd w:val="clear" w:color="auto" w:fill="FFFFFF"/>
          <w:lang w:eastAsia="pt-BR"/>
        </w:rPr>
      </w:pP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 xml:space="preserve">27 de novembro: </w:t>
      </w:r>
      <w:r w:rsidR="008A7B7B">
        <w:rPr>
          <w:rFonts w:ascii="Garamond" w:eastAsia="Times New Roman" w:hAnsi="Garamond" w:cs="Times New Roman"/>
          <w:b/>
          <w:color w:val="000000" w:themeColor="text1"/>
          <w:sz w:val="28"/>
          <w:szCs w:val="28"/>
          <w:shd w:val="clear" w:color="auto" w:fill="FFFFFF"/>
          <w:lang w:eastAsia="pt-BR"/>
        </w:rPr>
        <w:t>Soraya Smaili- “ O Oriente inventor do Ocidente”</w:t>
      </w:r>
    </w:p>
    <w:p w:rsidR="00264121" w:rsidRPr="008A7B7B" w:rsidRDefault="008A7B7B" w:rsidP="00264121">
      <w:pPr>
        <w:spacing w:line="360" w:lineRule="auto"/>
        <w:jc w:val="both"/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</w:pPr>
      <w:r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  <w:t xml:space="preserve">Trata-se de analisar a fundação do pensamento científico ocidental na linhagem da Ciência Árabe que, com seus conhecimentos de matemática, álgebra, astronomia, geografia, medicina e arquitetura, em particular, contribuíram primordialmente para </w:t>
      </w:r>
      <w:r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 xml:space="preserve">nouvelle vague </w:t>
      </w:r>
      <w:r w:rsidRPr="008A7B7B"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  <w:t>europeia</w:t>
      </w:r>
      <w:r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  <w:t>, das grandes Nave</w:t>
      </w:r>
      <w:r w:rsidR="007B29C1"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  <w:t>gações às descobertas da Química moderna.</w:t>
      </w:r>
      <w:r>
        <w:rPr>
          <w:rFonts w:ascii="Garamond" w:eastAsia="Times New Roman" w:hAnsi="Garamond" w:cs="Times New Roman"/>
          <w:i/>
          <w:color w:val="000000" w:themeColor="text1"/>
          <w:sz w:val="28"/>
          <w:szCs w:val="28"/>
          <w:shd w:val="clear" w:color="auto" w:fill="FFFFFF"/>
          <w:lang w:eastAsia="pt-BR"/>
        </w:rPr>
        <w:t xml:space="preserve"> </w:t>
      </w: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shd w:val="clear" w:color="auto" w:fill="FFFFFF"/>
          <w:lang w:eastAsia="pt-BR"/>
        </w:rPr>
      </w:pPr>
    </w:p>
    <w:p w:rsidR="00264121" w:rsidRDefault="00264121" w:rsidP="00264121">
      <w:pPr>
        <w:spacing w:line="36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lang w:eastAsia="pt-BR"/>
        </w:rPr>
      </w:pPr>
    </w:p>
    <w:p w:rsidR="007B29C1" w:rsidRDefault="007B29C1"/>
    <w:sectPr w:rsidR="007B29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21"/>
    <w:rsid w:val="001D1C47"/>
    <w:rsid w:val="00264121"/>
    <w:rsid w:val="002B4821"/>
    <w:rsid w:val="004F07E6"/>
    <w:rsid w:val="007924A6"/>
    <w:rsid w:val="007B29C1"/>
    <w:rsid w:val="00814ABB"/>
    <w:rsid w:val="00891920"/>
    <w:rsid w:val="008A7B7B"/>
    <w:rsid w:val="00A04259"/>
    <w:rsid w:val="00A76CF9"/>
    <w:rsid w:val="00B62B2B"/>
    <w:rsid w:val="00BC0B2C"/>
    <w:rsid w:val="00C40D8A"/>
    <w:rsid w:val="00E02A62"/>
    <w:rsid w:val="00EE5A2D"/>
    <w:rsid w:val="00F05AC4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459687-9838-4AA1-9E80-B8643E17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121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F05A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Olgaria</dc:creator>
  <cp:lastModifiedBy>Unifesp</cp:lastModifiedBy>
  <cp:revision>2</cp:revision>
  <dcterms:created xsi:type="dcterms:W3CDTF">2017-04-13T14:25:00Z</dcterms:created>
  <dcterms:modified xsi:type="dcterms:W3CDTF">2017-04-13T14:25:00Z</dcterms:modified>
</cp:coreProperties>
</file>